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166332DE" w:rsidP="3FF75328" w:rsidRDefault="166332DE" w14:paraId="51986392" w14:textId="3C40B5E0">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3387229B" w14:textId="5FDA79EC">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3CC0F07F" w14:textId="68742B53">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07ADCF13" w14:textId="74F6B19F">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798967AE" w14:textId="5B35518C">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1111B3B6" w14:textId="27D5F7D3">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45239AC5" w14:textId="6B67D209">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1CE1EACE" w14:textId="4C8B81C9">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7B295F5A" w14:textId="5A2E86DC">
      <w:pPr>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7CA7F63C" w14:textId="56A1F6C3">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Comparative Study: </w:t>
      </w:r>
    </w:p>
    <w:p w:rsidR="166332DE" w:rsidP="3FF75328" w:rsidRDefault="166332DE" w14:paraId="4E6220B7" w14:textId="0FD3ED02">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How would teaching a world religions course in public secondary schools promote Human Dignity in Malaysia and Indonesia</w:t>
      </w:r>
    </w:p>
    <w:p w:rsidR="166332DE" w:rsidP="3FF75328" w:rsidRDefault="166332DE" w14:paraId="7433FCAD" w14:textId="5394C83F">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165C97E1" w14:textId="3C2CA097">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6B188F59" w14:textId="7AB163C7">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7ED16540" w14:textId="6D7884CE">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42938B1D" w14:textId="3624EB58">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59738E10" w14:textId="5FDC4463">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6B8A1635" w14:textId="185F8F8D">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66332DE" w:rsidP="3FF75328" w:rsidRDefault="166332DE" w14:paraId="076EFA87" w14:textId="391BEDAB">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w:rsidR="15B462DE" w:rsidP="3FF75328" w:rsidRDefault="15B462DE" w14:paraId="12438785" w14:textId="39828692">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6D208A33" w14:textId="17314EB0">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1937FDFB" w14:textId="4ECEA936">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1261DC38" w14:textId="55D17DAD">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64786F36" w14:textId="326250BE">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0F6C787B" w14:textId="4326AB94">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18C85DA3" w14:textId="1318967A">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40D2C19E" w14:textId="7FBBC9AA">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5B1241D1" w14:textId="65DCD484">
      <w:pPr>
        <w:pStyle w:val="Normal"/>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Ayu N.K. Sari, </w:t>
      </w:r>
      <w:proofErr w:type="spellStart"/>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Deneille</w:t>
      </w:r>
      <w:proofErr w:type="spellEnd"/>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M. Martin, Raj Ravi A.D. Jerry</w:t>
      </w:r>
    </w:p>
    <w:p w:rsidR="166332DE" w:rsidP="3FF75328" w:rsidRDefault="166332DE" w14:paraId="5DA9B8C1" w14:textId="7AA8CF8A">
      <w:pPr>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Undergraduate Research Conference at Brigham Young University–Hawaii</w:t>
      </w:r>
    </w:p>
    <w:p w:rsidR="166332DE" w:rsidP="75D597FC" w:rsidRDefault="166332DE" w14:paraId="2438A0F8" w14:textId="2C70FB35">
      <w:pPr>
        <w:suppressLineNumbers w:val="0"/>
        <w:bidi w:val="0"/>
        <w:spacing w:before="0" w:beforeAutospacing="off" w:after="0" w:afterAutospacing="off" w:line="360" w:lineRule="auto"/>
        <w:ind/>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75D597FC" w:rsidR="75D597FC">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March 19, 2025</w:t>
      </w:r>
    </w:p>
    <w:p w:rsidR="75D597FC" w:rsidP="75D597FC" w:rsidRDefault="75D597FC" w14:paraId="0552F1DB" w14:textId="44FB6EAE">
      <w:pPr>
        <w:suppressLineNumbers w:val="0"/>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75D597FC" w:rsidP="75D597FC" w:rsidRDefault="75D597FC" w14:paraId="48D280E0" w14:textId="1EA7B407">
      <w:pPr>
        <w:suppressLineNumbers w:val="0"/>
        <w:bidi w:val="0"/>
        <w:spacing w:before="0" w:beforeAutospacing="off" w:after="0" w:afterAutospacing="off" w:line="360" w:lineRule="auto"/>
        <w:jc w:val="cente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166332DE" w:rsidP="3FF75328" w:rsidRDefault="166332DE" w14:paraId="7B60E67A" w14:textId="593733F0">
      <w:pPr>
        <w:pStyle w:val="ListParagraph"/>
        <w:numPr>
          <w:ilvl w:val="0"/>
          <w:numId w:val="1"/>
        </w:numPr>
        <w:bidi w:val="0"/>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Abstract</w:t>
      </w:r>
    </w:p>
    <w:p w:rsidR="166332DE" w:rsidP="69B3495D" w:rsidRDefault="166332DE" w14:paraId="000736B5" w14:textId="099B2B1A">
      <w:pPr>
        <w:bidi w:val="0"/>
        <w:spacing w:before="0" w:beforeAutospacing="off" w:after="0" w:afterAutospacing="off" w:line="360" w:lineRule="auto"/>
        <w:ind w:firstLine="72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Considering that Malaysia and Indonesia are countries with diverse religions and beliefs, a deep understanding of human dignity is needed. Religious education plays a significant role in fostering respect and deeper understanding across faiths, but currently educational systems in both countries often focus predominantly on faith-specific or moral courses, limiting exposure to other religions.</w:t>
      </w:r>
      <w:r w:rsidRPr="69B3495D" w:rsidR="69B3495D">
        <w:rPr>
          <w:rFonts w:ascii="Times New Roman" w:hAnsi="Times New Roman" w:eastAsia="Times New Roman" w:cs="Times New Roman"/>
          <w:noProof w:val="0"/>
          <w:sz w:val="24"/>
          <w:szCs w:val="24"/>
          <w:lang w:val="en-US"/>
        </w:rPr>
        <w:t xml:space="preserve"> This can create divisions rather than foster human dignity and interfaith understanding.</w:t>
      </w: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This study aims to investigate whether a different approach to religious education, through the integration of world religions courses into public secondary schools, can foster and promote human dignity among young people and ultimately foster human dignity in the country. Using a quantitative and qualitative approach, this research collects data from surveys and interviews with former public secondary school students from both countries to compare their educational experiences. A</w:t>
      </w:r>
      <w:r w:rsidRPr="69B3495D" w:rsidR="69B3495D">
        <w:rPr>
          <w:rFonts w:ascii="Times New Roman" w:hAnsi="Times New Roman" w:eastAsia="Times New Roman" w:cs="Times New Roman"/>
          <w:noProof w:val="0"/>
          <w:sz w:val="24"/>
          <w:szCs w:val="24"/>
          <w:lang w:val="en-US"/>
        </w:rPr>
        <w:t>lthough further research is needed to reach definitive conclusions</w:t>
      </w: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w:t>
      </w:r>
      <w:r w:rsidRPr="69B3495D" w:rsidR="69B3495D">
        <w:rPr>
          <w:rFonts w:ascii="Times New Roman" w:hAnsi="Times New Roman" w:eastAsia="Times New Roman" w:cs="Times New Roman"/>
          <w:noProof w:val="0"/>
          <w:sz w:val="24"/>
          <w:szCs w:val="24"/>
          <w:lang w:val="en-US"/>
        </w:rPr>
        <w:t xml:space="preserve"> th</w:t>
      </w: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e findings from this study will provide insights into the potential challenges and advantages of broadening religious education to encompass global religious traditions, offering recommendations for educational institutions and policymakers to foster human dignity, tolerance, and interfaith understanding in the country.</w:t>
      </w:r>
    </w:p>
    <w:p w:rsidR="166332DE" w:rsidP="3FF75328" w:rsidRDefault="166332DE" w14:paraId="6F725F4C" w14:textId="7B267B3F">
      <w:pPr>
        <w:pStyle w:val="ListParagraph"/>
        <w:numPr>
          <w:ilvl w:val="0"/>
          <w:numId w:val="2"/>
        </w:numPr>
        <w:bidi w:val="0"/>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Introduction</w:t>
      </w:r>
    </w:p>
    <w:p w:rsidR="345A1BEF" w:rsidP="3FF75328" w:rsidRDefault="345A1BEF" w14:paraId="7FADD2BA" w14:textId="14C9983D">
      <w:pPr>
        <w:pStyle w:val="Normal"/>
        <w:suppressLineNumbers w:val="0"/>
        <w:bidi w:val="0"/>
        <w:spacing w:before="0" w:beforeAutospacing="off" w:after="0" w:afterAutospacing="off" w:line="360" w:lineRule="auto"/>
        <w:ind w:left="0" w:right="0" w:firstLine="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 xml:space="preserve">Religious Diversity in both countries </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15B462DE" w:rsidP="3FF75328" w:rsidRDefault="15B462DE" w14:paraId="455D5CB4" w14:textId="004B5CBE">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Religious diversity is a defining characteristic of Malaysia and Indonesia, where multiple religions, races, and traditions coexist within the multicultural society. Malaysia, with its Muslim majority, also includes substantial populations of Buddhists, Christians, Hindus, and indigenous groups, all of whom contribute to the country’s rich cultural heritage. Based on Malaysia’s 2020 census, the country’s population is predominantly Muslim, accounting for 63.5%. Approximately 18.7% identify as Buddhists, while 9.1% follow Christianity and 6.1% adhere to Hinduism. Additionally, 1.8% of Malaysians identify as atheists and 0.9% belong to other religious groups such as animists, Confucianists, Taoists, Sikhs, and Baha’is. The majority of Muslims in Malaysia practice Sunni Islam, particularly following the Shafi’i school of thought (2023 Report on International Religious Freedom: Malaysia). Similarly, Indonesia, the world’s largest Muslim-majority nation, is also home to various religious communities, including Christians, Hindus, Buddhists, and indigenous belief systems. The population in Indonesia includes Muslim 87.4%, Protestant 7.5%, Roman Catholic 3.1%, Hindu 1.7%, other 0.8% (World Factbook 2025).  </w:t>
      </w:r>
    </w:p>
    <w:p w:rsidR="6F8AF450" w:rsidP="3FF75328" w:rsidRDefault="6F8AF450" w14:paraId="5E7C49AC" w14:textId="5EB2DA88">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This religious diversity leads to significant challenges to the educational systems in both countries, especially in public secondary schools. The emergence of many conflicts related to religious sentiments shows a problem with religious tolerance in the community (Utami, 2022). As religious education becomes an increasingly important part of the curriculum in both countries, understanding how it can be taught in ways that promote tolerance, respect, and mutual understanding is vital to ensuring social harmony and the protection of human dignity.</w:t>
      </w:r>
    </w:p>
    <w:p w:rsidR="6F8AF450" w:rsidP="3FF75328" w:rsidRDefault="6F8AF450" w14:paraId="4D9A8690" w14:textId="642A4771">
      <w:pPr>
        <w:pStyle w:val="Normal"/>
        <w:suppressLineNumbers w:val="0"/>
        <w:bidi w:val="0"/>
        <w:spacing w:before="0" w:beforeAutospacing="off" w:after="0" w:afterAutospacing="off" w:line="360" w:lineRule="auto"/>
        <w:ind w:left="0" w:right="0" w:firstLine="0"/>
        <w:jc w:val="left"/>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The purpose of religious education</w:t>
      </w:r>
    </w:p>
    <w:p w:rsidR="3FF75328" w:rsidP="3FF75328" w:rsidRDefault="3FF75328" w14:paraId="15ECFE14" w14:textId="200715C1">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Religious education can take two primary forms in formal schooling: it can either be integrated into secular schools, where students from diverse backgrounds learn together, or it can be taught within religious schools, where students typically share the same faith. The key difference is that the first approach fosters interaction between students of different religious beliefs, while the second focuses on reinforcing a shared faith within a more homogenous group.</w:t>
      </w:r>
    </w:p>
    <w:p w:rsidR="3FF75328" w:rsidP="3FF75328" w:rsidRDefault="3FF75328" w14:paraId="027F35DF" w14:textId="3F9A8C96">
      <w:pPr>
        <w:pStyle w:val="Normal"/>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One of the main purposes of religious education is to teach moral values to students. Beyond this, religious education serves several broader purposes. According to Brelsford (2003), it can be a way to strengthen religious identity, introduce students to diverse religious traditions, encourage self-reflection on spirituality, prevent extreme religious fanaticism, and promote a sense of moral responsibility.</w:t>
      </w:r>
    </w:p>
    <w:p w:rsidR="3FF75328" w:rsidP="3FF75328" w:rsidRDefault="3FF75328" w14:paraId="42367BC6" w14:textId="1F59EABA">
      <w:pPr>
        <w:pStyle w:val="Normal"/>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Over time, as societies have become more pluralistic and secular, the role of religious education in public schools has evolved. Instead of focusing solely on passing down religious doctrines, the emphasis has shifted toward fostering interfaith understanding and cultural appreciation. This change aligns with Jackson’s (2004) argument that religious education, especially in a multicultural and secular context, must prepare students to interact with different beliefs in ways that promote social justice, tolerance, and mutual respect. Religious education thus becomes not only a tool for spiritual growth but also for fostering an inclusive society.   </w:t>
      </w:r>
    </w:p>
    <w:p w:rsidR="3FF75328" w:rsidP="3FF75328" w:rsidRDefault="3FF75328" w14:paraId="7A9C6749" w14:textId="517C4063">
      <w:pPr>
        <w:pStyle w:val="Normal"/>
        <w:suppressLineNumbers w:val="0"/>
        <w:spacing w:before="0" w:beforeAutospacing="off" w:after="0" w:afterAutospacing="off" w:line="360" w:lineRule="auto"/>
        <w:ind w:left="0" w:right="0" w:firstLine="0"/>
        <w:jc w:val="left"/>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History of religious education in Indonesia and Malaysia</w:t>
      </w:r>
    </w:p>
    <w:p w:rsidR="3FF75328" w:rsidP="3FF75328" w:rsidRDefault="3FF75328" w14:paraId="7CCA126A" w14:textId="6C3A8A21">
      <w:pPr>
        <w:pStyle w:val="Normal"/>
        <w:suppressLineNumbers w:val="0"/>
        <w:bidi w:val="0"/>
        <w:spacing w:before="0" w:beforeAutospacing="off" w:after="0" w:afterAutospacing="off" w:line="360" w:lineRule="auto"/>
        <w:ind w:left="0" w:right="0" w:firstLine="0"/>
        <w:jc w:val="left"/>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Indonesia</w:t>
      </w:r>
    </w:p>
    <w:p w:rsidR="3FF75328" w:rsidP="3FF75328" w:rsidRDefault="3FF75328" w14:paraId="20833DCC" w14:textId="2935F50F">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Religious education in Indonesia has evolved alongside the country’s political and cultural development. After gaining independence, the government introduced laws such as the Education Law of 1950, which allowed parents to decide whether their children would receive religious instruction. By the 1970s, during the New Order regime, religious education became a mandatory subject in schools, aligning with the national ideology of Pancasila, which emphasizes belief in God as a fundamental principle.</w:t>
      </w:r>
    </w:p>
    <w:p w:rsidR="3FF75328" w:rsidP="3FF75328" w:rsidRDefault="3FF75328" w14:paraId="46A2C020" w14:textId="511D0E9F">
      <w:pPr>
        <w:pStyle w:val="Normal"/>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Despite these efforts, the effectiveness of religious education in promoting tolerance remains debatable. Critics argue that instead of fostering interfaith dialogue, religious instruction in public schools has often reinforced divisions between different religious groups. While the law continues to require religious education, it remains primarily focused on students’ own faith rather than exposing them to other religions in a meaningful way.</w:t>
      </w:r>
    </w:p>
    <w:p w:rsidR="3FF75328" w:rsidP="3FF75328" w:rsidRDefault="3FF75328" w14:paraId="245E3DA5" w14:textId="7EC98361">
      <w:pPr>
        <w:pStyle w:val="Normal"/>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78D2BADE" w14:textId="5A06D4F7">
      <w:pPr>
        <w:pStyle w:val="Normal"/>
        <w:suppressLineNumbers w:val="0"/>
        <w:bidi w:val="0"/>
        <w:spacing w:before="0" w:beforeAutospacing="off" w:after="0" w:afterAutospacing="off" w:line="360" w:lineRule="auto"/>
        <w:ind w:left="0" w:right="0" w:firstLine="0"/>
        <w:jc w:val="left"/>
        <w:rPr>
          <w:rFonts w:ascii="Times New Roman" w:hAnsi="Times New Roman" w:eastAsia="Times New Roman" w:cs="Times New Roman"/>
          <w:noProof w:val="0"/>
          <w:sz w:val="24"/>
          <w:szCs w:val="24"/>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Malaysia</w:t>
      </w:r>
    </w:p>
    <w:p w:rsidR="3FF75328" w:rsidP="3FF75328" w:rsidRDefault="3FF75328" w14:paraId="4EF77ADD" w14:textId="59126E08">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noProof w:val="0"/>
          <w:sz w:val="24"/>
          <w:szCs w:val="24"/>
          <w:lang w:val="en-US"/>
        </w:rPr>
      </w:pPr>
      <w:r w:rsidRPr="3FF75328" w:rsidR="3FF75328">
        <w:rPr>
          <w:rFonts w:ascii="Times New Roman" w:hAnsi="Times New Roman" w:eastAsia="Times New Roman" w:cs="Times New Roman"/>
          <w:noProof w:val="0"/>
          <w:sz w:val="24"/>
          <w:szCs w:val="24"/>
          <w:lang w:val="en-US"/>
        </w:rPr>
        <w:t xml:space="preserve">In Malaysia, religious education has been closely tied to politics and national identity. After independence in 1957, the government prioritized Islamic education to strengthen national unity while preserving the Malay-Muslim cultural identity. The National Education Policy of 1961 further reinforced this, making Islamic studies a key part of the school curriculum. Over time, religious education became more structured, with Sekolah </w:t>
      </w:r>
      <w:proofErr w:type="spellStart"/>
      <w:r w:rsidRPr="3FF75328" w:rsidR="3FF75328">
        <w:rPr>
          <w:rFonts w:ascii="Times New Roman" w:hAnsi="Times New Roman" w:eastAsia="Times New Roman" w:cs="Times New Roman"/>
          <w:noProof w:val="0"/>
          <w:sz w:val="24"/>
          <w:szCs w:val="24"/>
          <w:lang w:val="en-US"/>
        </w:rPr>
        <w:t>Kebangsaan</w:t>
      </w:r>
      <w:proofErr w:type="spellEnd"/>
      <w:r w:rsidRPr="3FF75328" w:rsidR="3FF75328">
        <w:rPr>
          <w:rFonts w:ascii="Times New Roman" w:hAnsi="Times New Roman" w:eastAsia="Times New Roman" w:cs="Times New Roman"/>
          <w:noProof w:val="0"/>
          <w:sz w:val="24"/>
          <w:szCs w:val="24"/>
          <w:lang w:val="en-US"/>
        </w:rPr>
        <w:t xml:space="preserve"> (national schools) incorporating Islamic teachings as a core subject.</w:t>
      </w:r>
    </w:p>
    <w:p w:rsidR="3FF75328" w:rsidP="3FF75328" w:rsidRDefault="3FF75328" w14:paraId="3EAC012C" w14:textId="30707324">
      <w:pPr>
        <w:pStyle w:val="Normal"/>
        <w:bidi w:val="0"/>
        <w:spacing w:before="240" w:beforeAutospacing="off" w:after="240" w:afterAutospacing="off" w:line="360" w:lineRule="auto"/>
        <w:ind w:firstLine="720"/>
        <w:jc w:val="left"/>
        <w:rPr>
          <w:rFonts w:ascii="Times New Roman" w:hAnsi="Times New Roman" w:eastAsia="Times New Roman" w:cs="Times New Roman"/>
          <w:noProof w:val="0"/>
          <w:sz w:val="24"/>
          <w:szCs w:val="24"/>
          <w:lang w:val="en-US"/>
        </w:rPr>
      </w:pPr>
      <w:r w:rsidRPr="3FF75328" w:rsidR="3FF75328">
        <w:rPr>
          <w:rFonts w:ascii="Times New Roman" w:hAnsi="Times New Roman" w:eastAsia="Times New Roman" w:cs="Times New Roman"/>
          <w:noProof w:val="0"/>
          <w:sz w:val="24"/>
          <w:szCs w:val="24"/>
          <w:lang w:val="en-US"/>
        </w:rPr>
        <w:t>During the 1980s and 1990s, as Malaysia pursued its Vision 2020 development plan, religious education was adapted to integrate Islamic values with modern subjects like science and technology. While moral education was introduced to promote respect for religious diversity, there have been ongoing debates about the dominance of Islamic teachings in schools. Some critics argue that the system does not fully reflect Malaysia’s religious diversity, raising concerns about whether religious education can truly promote inclusivity in a multi-faith society (Syed Hussein Alatas, 2005).</w:t>
      </w:r>
    </w:p>
    <w:p w:rsidR="345A1BEF" w:rsidP="3FF75328" w:rsidRDefault="345A1BEF" w14:paraId="5EE4720F" w14:textId="59122966">
      <w:pPr>
        <w:bidi w:val="0"/>
        <w:spacing w:before="240" w:beforeAutospacing="off" w:after="240" w:afterAutospacing="off" w:line="360" w:lineRule="auto"/>
        <w:ind w:firstLine="0"/>
        <w:jc w:val="left"/>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Different approach to religious education</w:t>
      </w:r>
    </w:p>
    <w:p w:rsidR="345A1BEF" w:rsidP="3FF75328" w:rsidRDefault="345A1BEF" w14:paraId="464AA484" w14:textId="6E985129">
      <w:pPr>
        <w:pStyle w:val="Normal"/>
        <w:suppressLineNumbers w:val="0"/>
        <w:bidi w:val="0"/>
        <w:spacing w:before="240" w:beforeAutospacing="off" w:after="240" w:afterAutospacing="off" w:line="360" w:lineRule="auto"/>
        <w:ind w:left="0" w:right="0" w:firstLine="720"/>
        <w:jc w:val="left"/>
        <w:rPr>
          <w:rFonts w:ascii="Times New Roman" w:hAnsi="Times New Roman" w:eastAsia="Times New Roman" w:cs="Times New Roman"/>
          <w:noProof w:val="0"/>
          <w:sz w:val="24"/>
          <w:szCs w:val="24"/>
          <w:lang w:val="en-US"/>
        </w:rPr>
      </w:pPr>
      <w:r w:rsidRPr="3FF75328" w:rsidR="3FF75328">
        <w:rPr>
          <w:rFonts w:ascii="Times New Roman" w:hAnsi="Times New Roman" w:eastAsia="Times New Roman" w:cs="Times New Roman"/>
          <w:noProof w:val="0"/>
          <w:sz w:val="24"/>
          <w:szCs w:val="24"/>
          <w:lang w:val="en-US"/>
        </w:rPr>
        <w:t>Both Indonesia and Malaysia recognize human dignity as a fundamental value in their legal and social frameworks, and religious education has the potential to uphold and promote this principle. A well-structured religious education program can encourage respect for different beliefs by highlighting shared values such as empathy, compassion, and mutual understanding.</w:t>
      </w:r>
    </w:p>
    <w:p w:rsidR="345A1BEF" w:rsidP="3FF75328" w:rsidRDefault="345A1BEF" w14:paraId="44C4F317" w14:textId="338C26CD">
      <w:pPr>
        <w:pStyle w:val="Normal"/>
        <w:suppressLineNumbers w:val="0"/>
        <w:bidi w:val="0"/>
        <w:spacing w:before="240" w:beforeAutospacing="off" w:after="240" w:afterAutospacing="off" w:line="360" w:lineRule="auto"/>
        <w:ind w:left="0" w:right="0" w:firstLine="720"/>
        <w:jc w:val="left"/>
        <w:rPr>
          <w:rFonts w:ascii="Times New Roman" w:hAnsi="Times New Roman" w:eastAsia="Times New Roman" w:cs="Times New Roman"/>
          <w:noProof w:val="0"/>
          <w:sz w:val="24"/>
          <w:szCs w:val="24"/>
          <w:lang w:val="en-US"/>
        </w:rPr>
      </w:pPr>
      <w:r w:rsidRPr="3FF75328" w:rsidR="3FF75328">
        <w:rPr>
          <w:rFonts w:ascii="Times New Roman" w:hAnsi="Times New Roman" w:eastAsia="Times New Roman" w:cs="Times New Roman"/>
          <w:noProof w:val="0"/>
          <w:sz w:val="24"/>
          <w:szCs w:val="24"/>
          <w:lang w:val="en-US"/>
        </w:rPr>
        <w:t xml:space="preserve">A shift from traditional religious instruction to a world religions course in public schools could help students engage with different faiths in a way that fosters inclusivity. Instead of focusing solely on their own religious traditions, students would learn about diverse belief systems, enabling them to appreciate the richness of religious and cultural diversity. We hypothesize that using different approach in religious education, such as teaching world religions course </w:t>
      </w:r>
      <w:r w:rsidRPr="3FF75328" w:rsidR="3FF7532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leads to an increase in the understanding of human dignity.</w:t>
      </w:r>
    </w:p>
    <w:p w:rsidR="166332DE" w:rsidP="3FF75328" w:rsidRDefault="166332DE" w14:paraId="6572C50C" w14:textId="28D38B11">
      <w:pPr>
        <w:pStyle w:val="ListParagraph"/>
        <w:numPr>
          <w:ilvl w:val="0"/>
          <w:numId w:val="3"/>
        </w:numPr>
        <w:bidi w:val="0"/>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 Methods</w:t>
      </w:r>
    </w:p>
    <w:p w:rsidR="166332DE" w:rsidP="69B3495D" w:rsidRDefault="166332DE" w14:paraId="7EFA68B7" w14:textId="4CB1042A">
      <w:pPr>
        <w:pStyle w:val="Normal"/>
        <w:bidi w:val="0"/>
        <w:spacing w:before="0" w:beforeAutospacing="off" w:after="0" w:afterAutospacing="off" w:line="360" w:lineRule="auto"/>
        <w:ind w:firstLine="72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The method we used in this study combines quantitative and qualitative methods. The quantitative method aims to compare the value of understanding human dignity between the two populations, Malaysia and Indonesia. Meanwhile, the qualitative method in this study is intended to obtain more in-depth results, carried out naturally, without being influenced and manipulated (</w:t>
      </w:r>
      <w:proofErr w:type="spellStart"/>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Sugiyono</w:t>
      </w:r>
      <w:proofErr w:type="spellEnd"/>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2018).</w:t>
      </w:r>
    </w:p>
    <w:p w:rsidR="09BBD398" w:rsidP="3FF75328" w:rsidRDefault="09BBD398" w14:paraId="3C77292C" w14:textId="31849280">
      <w:pPr>
        <w:pStyle w:val="Normal"/>
        <w:suppressLineNumbers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This research was conducted from Brigham Young University of Hawaii, none of our team went to Indonesia or Malaysia to conduct the research directly. Therefore, for quantitative data collection method, we used 'Qualtrics' and distributed it randomly using the snowball sampling method, where we shared the survey via email and social media with friends and teachers in various regions of the country concerned and asked them to spread it. Areas in Indonesia include Jakarta, Medan, Solo, Bali, Malang, Manado, and Maluku. For the qualitative method, we interviewed several Indonesian and Malaysian citizens living in Hawaii. Respondents were selected at </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randomly;</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some were from the community and some were students at Brigham Young University of Hawaii. The questions asked were related to how their religious education experiences were and their relationship to their perceptions of Human Dignity. Each respondent had first signed and agreed to the consent form before conducting the survey or interview. </w:t>
      </w:r>
    </w:p>
    <w:p w:rsidR="09BBD398" w:rsidP="3FF75328" w:rsidRDefault="09BBD398" w14:paraId="08FD5476" w14:textId="48DF0561">
      <w:pPr>
        <w:pStyle w:val="Normal"/>
        <w:suppressLineNumbers w:val="0"/>
        <w:bidi w:val="0"/>
        <w:spacing w:before="0" w:beforeAutospacing="off" w:after="0" w:afterAutospacing="off" w:line="360" w:lineRule="auto"/>
        <w:ind w:left="0" w:right="0" w:firstLine="720"/>
        <w:jc w:val="left"/>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Many limitations naturally arise from this study. One limitation comes from the sampling method that we used. The snowball sampling method makes it difficult for us to predict that we will get samples that reflect perfectly the variation of the true population. However, in this study, we could accept that our random samples are quite diverse in variation, which makes them quite capable of reflecting the behavior patterns of the true population. In addition, qualitative research designs may not reflect broader patterns that exist due to small sample sizes, and time constraints in conducting these studies.</w:t>
      </w:r>
    </w:p>
    <w:p w:rsidR="3FF75328" w:rsidP="3FF75328" w:rsidRDefault="3FF75328" w14:paraId="71F8621C" w14:textId="42D1FFBA">
      <w:pPr>
        <w:pStyle w:val="ListParagraph"/>
        <w:numPr>
          <w:ilvl w:val="0"/>
          <w:numId w:val="4"/>
        </w:numPr>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Finding</w:t>
      </w:r>
    </w:p>
    <w:p w:rsidR="3FF75328" w:rsidP="3FF75328" w:rsidRDefault="3FF75328" w14:paraId="3D884A5C" w14:textId="35C3E6DF">
      <w:pPr>
        <w:pStyle w:val="Normal"/>
        <w:bidi w:val="0"/>
        <w:spacing w:before="240" w:beforeAutospacing="off" w:after="240" w:afterAutospacing="off" w:line="360" w:lineRule="auto"/>
        <w:ind w:left="0" w:firstLine="720"/>
        <w:rPr>
          <w:rFonts w:ascii="Times New Roman" w:hAnsi="Times New Roman" w:eastAsia="Times New Roman" w:cs="Times New Roman"/>
        </w:rPr>
      </w:pPr>
      <w:r w:rsidRPr="3FF75328" w:rsidR="3FF75328">
        <w:rPr>
          <w:rFonts w:ascii="Times New Roman" w:hAnsi="Times New Roman" w:eastAsia="Times New Roman" w:cs="Times New Roman"/>
        </w:rPr>
        <w:t>This study aims to investigate whether the inclusion of world religions courses in public secondary schools in Malaysia and Indonesia can improve understanding of human dignity and foster interfaith tolerance. Findings from quantitative and qualitative data support the hypothesis that exposure to diverse religious traditions helps foster tolerance and social harmony. Malaysian and Indonesian respondents expressed a strong belief that understanding different religions contributes to peacebuilding and celebrating religious diversity. The data we collected show the impact of different approaches to religious education on their understanding of human dignity in Indonesia and Malaysia. A total of 66 respondents participated in the survey, 34 from Malaysia and 32 from Indonesia. We also conducted face-to-face interviews with 3 individuals, 1 from Indonesia and 2 from Malaysia. The quantitative and qualitative data highlight the importance of exposure to diverse religious perspectives in promoting human dignity and religious tolerance in these countries. Quantitative analysis shows positive responses from both countries, the analysis shows the percentage between Indonesia and Malaysia respondents who agree to have:</w:t>
      </w:r>
    </w:p>
    <w:p w:rsidR="3FF75328" w:rsidP="3FF75328" w:rsidRDefault="3FF75328" w14:paraId="39D102D9" w14:textId="72479269">
      <w:pPr>
        <w:pStyle w:val="Normal"/>
        <w:bidi w:val="0"/>
        <w:spacing w:before="240" w:beforeAutospacing="off" w:after="240" w:afterAutospacing="off" w:line="360" w:lineRule="auto"/>
        <w:ind w:left="0"/>
        <w:rPr>
          <w:rFonts w:ascii="Times New Roman" w:hAnsi="Times New Roman" w:eastAsia="Times New Roman" w:cs="Times New Roman"/>
          <w:b w:val="1"/>
          <w:bCs w:val="1"/>
        </w:rPr>
      </w:pPr>
      <w:r w:rsidRPr="3FF75328" w:rsidR="3FF75328">
        <w:rPr>
          <w:rFonts w:ascii="Times New Roman" w:hAnsi="Times New Roman" w:eastAsia="Times New Roman" w:cs="Times New Roman"/>
          <w:b w:val="1"/>
          <w:bCs w:val="1"/>
        </w:rPr>
        <w:t>Indonesia</w:t>
      </w:r>
    </w:p>
    <w:p w:rsidR="3FF75328" w:rsidP="3FF75328" w:rsidRDefault="3FF75328" w14:paraId="75709FD3" w14:textId="09674299">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Teaching about other religions reduces conflict: 75%</w:t>
      </w:r>
    </w:p>
    <w:p w:rsidR="3FF75328" w:rsidP="3FF75328" w:rsidRDefault="3FF75328" w14:paraId="181FBCE8" w14:textId="29DF9B84">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Exposure contributes to social harmony: 80.56%</w:t>
      </w:r>
    </w:p>
    <w:p w:rsidR="3FF75328" w:rsidP="3FF75328" w:rsidRDefault="3FF75328" w14:paraId="69A0E64A" w14:textId="7386689C">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Understanding builds tolerance and peace: 88.57%</w:t>
      </w:r>
    </w:p>
    <w:p w:rsidR="3FF75328" w:rsidP="3FF75328" w:rsidRDefault="3FF75328" w14:paraId="18F9BBFC" w14:textId="44A8B9E6">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Religious diversity should be celebrated: 80%</w:t>
      </w:r>
    </w:p>
    <w:p w:rsidR="3FF75328" w:rsidP="3FF75328" w:rsidRDefault="3FF75328" w14:paraId="78917168" w14:textId="3C2C2ADF">
      <w:pPr>
        <w:pStyle w:val="Normal"/>
        <w:bidi w:val="0"/>
        <w:spacing w:before="240" w:beforeAutospacing="off" w:after="240" w:afterAutospacing="off" w:line="360" w:lineRule="auto"/>
        <w:ind w:left="0"/>
        <w:rPr>
          <w:rFonts w:ascii="Times New Roman" w:hAnsi="Times New Roman" w:eastAsia="Times New Roman" w:cs="Times New Roman"/>
          <w:b w:val="1"/>
          <w:bCs w:val="1"/>
        </w:rPr>
      </w:pPr>
      <w:r w:rsidRPr="3FF75328" w:rsidR="3FF75328">
        <w:rPr>
          <w:rFonts w:ascii="Times New Roman" w:hAnsi="Times New Roman" w:eastAsia="Times New Roman" w:cs="Times New Roman"/>
          <w:b w:val="1"/>
          <w:bCs w:val="1"/>
        </w:rPr>
        <w:t>Malaysia</w:t>
      </w:r>
    </w:p>
    <w:p w:rsidR="3FF75328" w:rsidP="3FF75328" w:rsidRDefault="3FF75328" w14:paraId="6B852DA9" w14:textId="4934D2BD">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Teaching about religion reduces conflict: 60%</w:t>
      </w:r>
    </w:p>
    <w:p w:rsidR="3FF75328" w:rsidP="3FF75328" w:rsidRDefault="3FF75328" w14:paraId="0896E677" w14:textId="67AF984E">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Exposure contributes to social harmony: 80%</w:t>
      </w:r>
    </w:p>
    <w:p w:rsidR="3FF75328" w:rsidP="3FF75328" w:rsidRDefault="3FF75328" w14:paraId="4DCAFD31" w14:textId="016A9E4C">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Understanding builds tolerance and peace: 100%</w:t>
      </w:r>
    </w:p>
    <w:p w:rsidR="3FF75328" w:rsidP="3FF75328" w:rsidRDefault="3FF75328" w14:paraId="3F8754AF" w14:textId="303CF862">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Religious diversity should be celebrated: 80%</w:t>
      </w:r>
    </w:p>
    <w:p w:rsidR="3FF75328" w:rsidP="3FF75328" w:rsidRDefault="3FF75328" w14:paraId="3C6E8DFD" w14:textId="73FE2524">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Comparison of agreement between the two countries, most show a high level of agreement in exposure contributes to social harmony and religious diversity should be celebrated, with a consistent percentage of 80% from each country. The idea of religious teaching reduces conflict is slightly low for Malaysian respondents at 60%, meanwhile, 75% of Indonesian respondents, respondents still believe that religious teaching reduces conflict and agree to introduce such courses in schools. Malaysian respondents agreed 100% that the idea of understanding and building tolerance and peace should be included in teaching.</w:t>
      </w:r>
    </w:p>
    <w:p w:rsidR="3FF75328" w:rsidP="3FF75328" w:rsidRDefault="3FF75328" w14:paraId="1512B892" w14:textId="75E8C267">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1. Impact of Teaching Religious Diversity on Conflict Reduction:</w:t>
      </w:r>
    </w:p>
    <w:p w:rsidR="3FF75328" w:rsidP="3FF75328" w:rsidRDefault="3FF75328" w14:paraId="3BC6471B" w14:textId="4087DCDC">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The data show a marked difference between Malaysian and Indonesian respondents’ responses regarding the potential of religious education to reduce conflict. In Indonesia, 75% of respondents agreed that teaching about religion reduces conflict, compared to only 60% in Malaysia. This difference suggests that Indonesian students may have more exposure to interfaith perspectives in their religious education system, which may contribute to a greater belief in the role of education in reducing religious conflict. In contrast, the Malaysian education system, which tends to emphasize Islam, may not provide many opportunities for students to engage with other religions. This lack of understanding may contribute to a more cautious view of the potential of education to reduce religious tensions. The difference in responses may also reflect the different political and social contexts in the two countries, with issues of religious pluralism being discussed more openly in Indonesia than in Malaysia.</w:t>
      </w:r>
    </w:p>
    <w:p w:rsidR="3FF75328" w:rsidP="3FF75328" w:rsidRDefault="3FF75328" w14:paraId="4A1B282C" w14:textId="49C127D8">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2. Exposure to Religious Diversity and Social Harmony:</w:t>
      </w:r>
    </w:p>
    <w:p w:rsidR="3FF75328" w:rsidP="3FF75328" w:rsidRDefault="3FF75328" w14:paraId="52AC2F47" w14:textId="073454EF">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Both countries showed strong agreement (80% in Indonesia and 80% in Malaysia) that exposure to different religions contributes to social harmony. This indicates that respondents from both countries recognize the value of religious education in promoting peaceful coexistence and understanding between religious groups. The universal support for this statement highlights the widespread recognition of the importance of religious tolerance in multicultural societies. This finding is consistent with Jackson’s (2004) argument that religious education should be designed not only to teach doctrine but also to promote social justice and mutual respect. By fostering a deeper understanding of religious diversity, students in both countries can become more open-minded and accepting of those from different religious traditions.</w:t>
      </w:r>
    </w:p>
    <w:p w:rsidR="3FF75328" w:rsidP="3FF75328" w:rsidRDefault="3FF75328" w14:paraId="167C77EB" w14:textId="335DA936">
      <w:pPr>
        <w:pStyle w:val="Normal"/>
        <w:bidi w:val="0"/>
        <w:spacing w:before="240" w:beforeAutospacing="off" w:after="240" w:afterAutospacing="off" w:line="360" w:lineRule="auto"/>
        <w:ind w:left="0"/>
        <w:rPr>
          <w:rFonts w:ascii="Times New Roman" w:hAnsi="Times New Roman" w:eastAsia="Times New Roman" w:cs="Times New Roman"/>
        </w:rPr>
      </w:pPr>
      <w:r w:rsidRPr="3FF75328" w:rsidR="3FF75328">
        <w:rPr>
          <w:rFonts w:ascii="Times New Roman" w:hAnsi="Times New Roman" w:eastAsia="Times New Roman" w:cs="Times New Roman"/>
        </w:rPr>
        <w:t xml:space="preserve"> 3. Understanding and Building Tolerance and Peace:</w:t>
      </w:r>
    </w:p>
    <w:p w:rsidR="3FF75328" w:rsidP="3FF75328" w:rsidRDefault="3FF75328" w14:paraId="169FB6A1" w14:textId="390FC305">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The overwhelming consensus (88.57% in Indonesia and 100% in Malaysia) that understanding different religions builds tolerance and peace further underscores the importance of interfaith education. Both groups strongly agreed that education about different religions helps foster mutual respect and peaceful coexistence. The fact that all Malaysian respondents agreed with this statement suggests that, despite the challenges posed by the dominance of Islam in the curriculum, there is a deep recognition of the value of tolerance and peacebuilding in the country’s pluralistic society. Indonesian respondents also supported this view, albeit to a slightly lesser extent, suggesting that while religious education in Indonesia could provide a more balanced view of different religions, there is still room for improvement in fostering cross-cultural understanding.</w:t>
      </w:r>
    </w:p>
    <w:p w:rsidR="3FF75328" w:rsidP="3FF75328" w:rsidRDefault="3FF75328" w14:paraId="5D746B3C" w14:textId="49F86298">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4. Celebrating Religious Diversity:</w:t>
      </w:r>
    </w:p>
    <w:p w:rsidR="3FF75328" w:rsidP="3FF75328" w:rsidRDefault="3FF75328" w14:paraId="74B47F7F" w14:textId="5D81F24A">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Both Indonesian (80%) and Malaysian (80%) respondents strongly agreed that religious diversity should be celebrated, reflecting a shared belief in the value of pluralism. This finding is significant because it suggests that both populations are not only tolerant of religious differences but also value the richness that diverse beliefs bring to society. This is in line with the idea of interfaith education as a means to foster mutual respect and understanding, which are essential to fostering human dignity in a multicultural society.</w:t>
      </w:r>
    </w:p>
    <w:p w:rsidR="3FF75328" w:rsidP="3FF75328" w:rsidRDefault="3FF75328" w14:paraId="42325461" w14:textId="0E3F6C2E">
      <w:pPr>
        <w:pStyle w:val="Normal"/>
        <w:bidi w:val="0"/>
        <w:spacing w:before="240" w:beforeAutospacing="off" w:after="240" w:afterAutospacing="off" w:line="360" w:lineRule="auto"/>
        <w:ind w:left="0"/>
      </w:pPr>
      <w:r w:rsidRPr="3FF75328" w:rsidR="3FF75328">
        <w:rPr>
          <w:rFonts w:ascii="Times New Roman" w:hAnsi="Times New Roman" w:eastAsia="Times New Roman" w:cs="Times New Roman"/>
        </w:rPr>
        <w:t>5. The Role of Education Systems in Promoting Human Dignity:</w:t>
      </w:r>
    </w:p>
    <w:p w:rsidR="3FF75328" w:rsidP="3FF75328" w:rsidRDefault="3FF75328" w14:paraId="2322C491" w14:textId="41EF3164">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 xml:space="preserve">The positive responses from both countries demonstrate the potential of world religions courses to enhance understanding of human dignity. Exposure to a broad spectrum of religious perspectives can challenge prejudice and reduce bias, thereby fostering a more inclusive and respectful society. These findings support the hypothesis that religious education, when approached from an interfaith perspective, can enhance human dignity by fostering empathy and respect for others, regardless of their religious background. </w:t>
      </w:r>
    </w:p>
    <w:p w:rsidR="3FF75328" w:rsidP="3FF75328" w:rsidRDefault="3FF75328" w14:paraId="4C3E34B6" w14:textId="61E10FA1">
      <w:pPr>
        <w:pStyle w:val="Normal"/>
        <w:bidi w:val="0"/>
        <w:spacing w:before="240" w:beforeAutospacing="off" w:after="240" w:afterAutospacing="off" w:line="360" w:lineRule="auto"/>
        <w:ind w:left="0" w:firstLine="720"/>
      </w:pPr>
      <w:r w:rsidRPr="3FF75328" w:rsidR="3FF75328">
        <w:rPr>
          <w:rFonts w:ascii="Times New Roman" w:hAnsi="Times New Roman" w:eastAsia="Times New Roman" w:cs="Times New Roman"/>
        </w:rPr>
        <w:t>Overall, the findings suggest that both Malaysia and Indonesia recognize the importance of religious education in fostering understanding, tolerance, and peace. However, the variation in responses between the two countries—particularly regarding the role of religious education in reducing conflict—suggests the need for further integration of interfaith dialogue into the curriculum. World religions courses can offer students the opportunity to appreciate the diversity of human belief systems, which in turn can help build a more harmonious society that values human dignity and social justice.</w:t>
      </w:r>
    </w:p>
    <w:p w:rsidR="166332DE" w:rsidP="3FF75328" w:rsidRDefault="166332DE" w14:paraId="7A8EEB06" w14:textId="447B6EBA">
      <w:pPr>
        <w:pStyle w:val="ListParagraph"/>
        <w:numPr>
          <w:ilvl w:val="0"/>
          <w:numId w:val="5"/>
        </w:numPr>
        <w:bidi w:val="0"/>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Discussion</w:t>
      </w:r>
    </w:p>
    <w:p w:rsidR="3FF75328" w:rsidP="3FF75328" w:rsidRDefault="3FF75328" w14:paraId="2B39D711" w14:textId="6C8640D4">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The findings of this study highlight the potential benefits of incorporating world religions courses into the secondary school curriculum in Malaysia and Indonesia. The results suggest that exposure to diverse religious perspectives can foster human dignity, social harmony, and interfaith tolerance. This section discusses the implications of these findings, discussing key themes such as the role of education in conflict resolution, the promotion of religious literacy, and potential policy implications for both countries.</w:t>
      </w:r>
    </w:p>
    <w:p w:rsidR="3FF75328" w:rsidP="3FF75328" w:rsidRDefault="3FF75328" w14:paraId="2C2DA5B9" w14:textId="0ECBB698">
      <w:pPr>
        <w:pStyle w:val="Normal"/>
        <w:bidi w:val="0"/>
        <w:spacing w:before="0" w:beforeAutospacing="off" w:after="0" w:afterAutospacing="off" w:line="360" w:lineRule="auto"/>
        <w:ind w:firstLine="0"/>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The Role of Education in Conflict Resolution</w:t>
      </w:r>
    </w:p>
    <w:p w:rsidR="3FF75328" w:rsidP="3FF75328" w:rsidRDefault="3FF75328" w14:paraId="380EB784" w14:textId="0F809F8B">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One of the most significant findings of this study is the perception that teaching about different religions can contribute to reducing conflict. This is particularly relevant in Indonesia, where 75% of respondents agreed with this statement, compared to 60% in Malaysia. This finding is in line with previous research (Utami, 2022) which highlights how religious education can play a role in reducing religious tensions by increasing understanding and empathy. However, the relatively lower percentage of agreement in Malaysia suggests that factors such as the current religious education curriculum and political influence may influence perceptions about the effectiveness of interfaith education in reducing conflict.</w:t>
      </w:r>
    </w:p>
    <w:p w:rsidR="3FF75328" w:rsidP="3FF75328" w:rsidRDefault="3FF75328" w14:paraId="43DEBBBD" w14:textId="40002C93">
      <w:pPr>
        <w:pStyle w:val="Normal"/>
        <w:bidi w:val="0"/>
        <w:spacing w:before="0" w:beforeAutospacing="off" w:after="0" w:afterAutospacing="off" w:line="360" w:lineRule="auto"/>
        <w:ind w:firstLine="72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4B968DBF" w14:textId="775E1EE8">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A study by Sterkens (2011) emphasized the importance of interfaith learning in reducing religious conflict by facilitating dialogue and mutual respect. Our results suggest that incorporating interfaith approaches into religious education can serve as a tool for peacebuilding. This is in line with Jackson’s (2004) argument that religious education should prepare students to engage with different faiths in ways that promote social justice and mutual respect. </w:t>
      </w:r>
    </w:p>
    <w:p w:rsidR="3FF75328" w:rsidP="3FF75328" w:rsidRDefault="3FF75328" w14:paraId="342FA929" w14:textId="182DF030">
      <w:pPr>
        <w:pStyle w:val="Normal"/>
        <w:bidi w:val="0"/>
        <w:spacing w:before="0" w:beforeAutospacing="off" w:after="0" w:afterAutospacing="off" w:line="360" w:lineRule="auto"/>
        <w:ind w:firstLine="72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1CEB65AA" w14:textId="72FEE281">
      <w:pPr>
        <w:pStyle w:val="Normal"/>
        <w:bidi w:val="0"/>
        <w:spacing w:before="0" w:beforeAutospacing="off" w:after="0" w:afterAutospacing="off" w:line="360" w:lineRule="auto"/>
        <w:ind w:firstLine="0"/>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Promoting Religious Literacy</w:t>
      </w:r>
    </w:p>
    <w:p w:rsidR="3FF75328" w:rsidP="3FF75328" w:rsidRDefault="3FF75328" w14:paraId="30D20D27" w14:textId="1219882D">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Religious literacy is an essential component in fostering human dignity in pluralistic societies. The strong agreement among respondents that exposure to different religions contributes to social harmony (80% in Malaysia and Indonesia) highlights the importance of interfaith education in strengthening social cohesion. Studies on religious education in Indonesia (Barton, 2014) and Malaysia (Alatas, 2005) have shown that religious curricula often focus primarily on the dominant religion, thereby limiting students’ exposure to diverse religious traditions. </w:t>
      </w:r>
    </w:p>
    <w:p w:rsidR="3FF75328" w:rsidP="3FF75328" w:rsidRDefault="3FF75328" w14:paraId="0E4497AB" w14:textId="3BE26315">
      <w:pPr>
        <w:pStyle w:val="Normal"/>
        <w:bidi w:val="0"/>
        <w:spacing w:before="0" w:beforeAutospacing="off" w:after="0" w:afterAutospacing="off" w:line="360" w:lineRule="auto"/>
        <w:ind w:firstLine="0"/>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0"/>
          <w:bCs w:val="0"/>
          <w:i w:val="1"/>
          <w:iCs w:val="1"/>
          <w:caps w:val="0"/>
          <w:smallCaps w:val="0"/>
          <w:strike w:val="0"/>
          <w:dstrike w:val="0"/>
          <w:noProof w:val="0"/>
          <w:color w:val="000000" w:themeColor="text1" w:themeTint="FF" w:themeShade="FF"/>
          <w:sz w:val="24"/>
          <w:szCs w:val="24"/>
          <w:u w:val="none"/>
          <w:lang w:val="en-US"/>
        </w:rPr>
        <w:t>Policy Implications</w:t>
      </w:r>
    </w:p>
    <w:p w:rsidR="3FF75328" w:rsidP="3FF75328" w:rsidRDefault="3FF75328" w14:paraId="46F404B6" w14:textId="3BE14DEF">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Given the positive reception of interfaith education in both countries, policymakers should consider integrating world religions courses into the general secondary school curriculum. This can be done by:</w:t>
      </w:r>
    </w:p>
    <w:p w:rsidR="3FF75328" w:rsidP="3FF75328" w:rsidRDefault="3FF75328" w14:paraId="127A2888" w14:textId="00DC4A14">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3FF75328" w:rsidP="3FF75328" w:rsidRDefault="3FF75328" w14:paraId="1CC6A5EC" w14:textId="26F83D83">
      <w:pPr>
        <w:pStyle w:val="ListParagraph"/>
        <w:numPr>
          <w:ilvl w:val="0"/>
          <w:numId w:val="15"/>
        </w:numPr>
        <w:bidi w:val="0"/>
        <w:spacing w:before="0" w:beforeAutospacing="off" w:after="0" w:afterAutospacing="off" w:line="360" w:lineRule="auto"/>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Revising Education Policies:</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Both Malaysia and Indonesia have education policies that emphasize religious instruction, but these policies often focus on one religious tradition. Revisions to include a broader study of world religions could increase students’ exposure to diverse perspectives.</w:t>
      </w:r>
    </w:p>
    <w:p w:rsidR="3FF75328" w:rsidP="3FF75328" w:rsidRDefault="3FF75328" w14:paraId="6CE9A4D2" w14:textId="19F9D26A">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3FF75328" w:rsidP="3FF75328" w:rsidRDefault="3FF75328" w14:paraId="03B5E0B1" w14:textId="2546D34E">
      <w:pPr>
        <w:pStyle w:val="ListParagraph"/>
        <w:numPr>
          <w:ilvl w:val="0"/>
          <w:numId w:val="16"/>
        </w:numPr>
        <w:bidi w:val="0"/>
        <w:spacing w:before="0" w:beforeAutospacing="off" w:after="0" w:afterAutospacing="off" w:line="360" w:lineRule="auto"/>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Teacher Training and Curriculum Development: </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Educators should receive specific training to teach religious literacy from an objective and inclusive perspective. Research has shown that well-trained educators can play a critical role in fostering interfaith dialogue and understanding.</w:t>
      </w:r>
    </w:p>
    <w:p w:rsidR="3FF75328" w:rsidP="3FF75328" w:rsidRDefault="3FF75328" w14:paraId="1E5C1990" w14:textId="59FD5AE5">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3FF75328" w:rsidP="3FF75328" w:rsidRDefault="3FF75328" w14:paraId="23F96706" w14:textId="0CAE7F0D">
      <w:pPr>
        <w:pStyle w:val="ListParagraph"/>
        <w:numPr>
          <w:ilvl w:val="0"/>
          <w:numId w:val="17"/>
        </w:numPr>
        <w:bidi w:val="0"/>
        <w:spacing w:before="0" w:beforeAutospacing="off" w:after="0" w:afterAutospacing="off" w:line="360" w:lineRule="auto"/>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 xml:space="preserve">Interfaith Dialogue Initiatives: </w:t>
      </w: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Schools can implement programs that encourage interaction among students of different religious backgrounds, promoting discussions that reinforce values of mutual respect and social cohesion.</w:t>
      </w:r>
    </w:p>
    <w:p w:rsidR="3FF75328" w:rsidP="3FF75328" w:rsidRDefault="3FF75328" w14:paraId="7F7EBED3" w14:textId="29837CE0">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 xml:space="preserve"> </w:t>
      </w:r>
    </w:p>
    <w:p w:rsidR="3FF75328" w:rsidP="3FF75328" w:rsidRDefault="3FF75328" w14:paraId="5AB3DC00" w14:textId="37869CEE">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While these changes may face resistance from more conservative educational and political groups, the findings of this study suggest that there is public support for expanding religious education to include more diverse perspectives.</w:t>
      </w:r>
    </w:p>
    <w:p w:rsidR="166332DE" w:rsidP="3FF75328" w:rsidRDefault="166332DE" w14:paraId="5A5EF2C7" w14:textId="13D0EC17">
      <w:pPr>
        <w:pStyle w:val="ListParagraph"/>
        <w:numPr>
          <w:ilvl w:val="0"/>
          <w:numId w:val="6"/>
        </w:numPr>
        <w:bidi w:val="0"/>
        <w:spacing w:before="240" w:beforeAutospacing="off" w:after="240" w:afterAutospacing="off" w:line="360" w:lineRule="auto"/>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Conclusion</w:t>
      </w:r>
    </w:p>
    <w:p w:rsidR="3FF75328" w:rsidP="69B3495D" w:rsidRDefault="3FF75328" w14:paraId="6E3E0D4A" w14:textId="5AC2F68C">
      <w:pPr>
        <w:spacing w:before="0" w:beforeAutospacing="off" w:after="0" w:afterAutospacing="off" w:line="360" w:lineRule="auto"/>
        <w:ind w:firstLine="72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r w:rsidRPr="69B3495D" w:rsidR="69B3495D">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Our study highlights the importance of religious education in fostering understanding, tolerance, and peace. While both Malaysia and Indonesia acknowledge the value of religious education, differences in their educational systems suggest varying degrees of interfaith engagement.</w:t>
      </w:r>
    </w:p>
    <w:p w:rsidR="3FF75328" w:rsidP="3FF75328" w:rsidRDefault="3FF75328" w14:paraId="7AB91A35" w14:textId="73D00582">
      <w:pPr>
        <w:pStyle w:val="Normal"/>
        <w:bidi w:val="0"/>
        <w:spacing w:before="0" w:beforeAutospacing="off" w:after="0" w:afterAutospacing="off" w:line="360" w:lineRule="auto"/>
        <w:ind w:firstLine="720"/>
      </w:pPr>
      <w:r w:rsidRPr="3FF75328" w:rsidR="3FF75328">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t>Given our findings, we recommend integrating a world religions course into secondary school curricula, supported by teacher training and policy revisions. By broadening students’ exposure to diverse religious traditions, we believe that educational institutions in both countries can play a crucial role in promoting human dignity, mutual respect, and social cohesion. Future research should include a larger sample size and classroom observations to assess the long-term impact of interfaith education. Ultimately, fostering religious literacy through education is a step toward building a more inclusive and harmonious society.</w:t>
      </w:r>
    </w:p>
    <w:p w:rsidR="3FF75328" w:rsidP="3FF75328" w:rsidRDefault="3FF75328" w14:paraId="602A4886" w14:textId="04F150E2">
      <w:pPr>
        <w:pStyle w:val="Normal"/>
        <w:bidi w:val="0"/>
        <w:spacing w:before="0" w:beforeAutospacing="off" w:after="0" w:afterAutospacing="off" w:line="360" w:lineRule="auto"/>
        <w:ind w:firstLine="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0ABC1FC0" w14:textId="684171E5">
      <w:pPr>
        <w:pStyle w:val="Normal"/>
        <w:bidi w:val="0"/>
        <w:spacing w:before="0" w:beforeAutospacing="off" w:after="0" w:afterAutospacing="off" w:line="360" w:lineRule="auto"/>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1F2A0563" w14:textId="1DEDC8DF">
      <w:pPr>
        <w:pStyle w:val="Normal"/>
        <w:spacing w:before="0" w:beforeAutospacing="off" w:after="0" w:afterAutospacing="off" w:line="36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FF75328" w:rsidR="3FF75328">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t>References</w:t>
      </w:r>
    </w:p>
    <w:p w:rsidR="3FF75328" w:rsidP="3FF75328" w:rsidRDefault="3FF75328" w14:paraId="1E68820D" w14:textId="5031504B">
      <w:pPr>
        <w:pStyle w:val="Normal"/>
        <w:bidi w:val="0"/>
        <w:spacing w:before="0" w:beforeAutospacing="off" w:after="0" w:afterAutospacing="off" w:line="360" w:lineRule="auto"/>
        <w:jc w:val="center"/>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n-US"/>
        </w:rPr>
      </w:pPr>
    </w:p>
    <w:p w:rsidR="3FF75328" w:rsidP="3FF75328" w:rsidRDefault="3FF75328" w14:paraId="40FD7D26" w14:textId="1D753506">
      <w:pPr>
        <w:pStyle w:val="Normal"/>
        <w:bidi w:val="0"/>
        <w:spacing w:line="360" w:lineRule="auto"/>
        <w:ind w:left="720" w:hanging="720"/>
        <w:rPr>
          <w:rFonts w:ascii="Times New Roman" w:hAnsi="Times New Roman" w:eastAsia="Times New Roman" w:cs="Times New Roman"/>
          <w:i w:val="0"/>
          <w:iCs w:val="0"/>
          <w:caps w:val="0"/>
          <w:smallCaps w:val="0"/>
          <w:noProof w:val="0"/>
          <w:color w:val="141413"/>
          <w:lang w:val="en-US"/>
        </w:rPr>
      </w:pPr>
      <w:r w:rsidRPr="3FF75328" w:rsidR="3FF75328">
        <w:rPr>
          <w:rFonts w:ascii="Times New Roman" w:hAnsi="Times New Roman" w:eastAsia="Times New Roman" w:cs="Times New Roman"/>
          <w:i w:val="0"/>
          <w:iCs w:val="0"/>
          <w:caps w:val="0"/>
          <w:smallCaps w:val="0"/>
          <w:noProof w:val="0"/>
          <w:color w:val="141413"/>
          <w:lang w:val="en-US"/>
        </w:rPr>
        <w:t>Alatas, S. H. (2005). Education and ethnicity in Malaysia: An analysis of religious education. Oxford University Press.</w:t>
      </w:r>
    </w:p>
    <w:p w:rsidR="3FF75328" w:rsidP="3FF75328" w:rsidRDefault="3FF75328" w14:paraId="615A05CA" w14:textId="065B6D3E">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22392DD7" w14:textId="1E35960D">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International Religious Freedom Report. (2001). For Muslim children, religious education in public schools according to their faith. U.S. Department of State. Retrieved from </w:t>
      </w:r>
      <w:hyperlink r:id="R95ccee8353ba4c7a">
        <w:r w:rsidRPr="3FF75328" w:rsidR="3FF75328">
          <w:rPr>
            <w:rStyle w:val="Hyperlink"/>
            <w:rFonts w:ascii="Times New Roman" w:hAnsi="Times New Roman" w:eastAsia="Times New Roman" w:cs="Times New Roman"/>
            <w:i w:val="0"/>
            <w:iCs w:val="0"/>
            <w:caps w:val="0"/>
            <w:smallCaps w:val="0"/>
            <w:noProof w:val="0"/>
            <w:lang w:val="en-US"/>
          </w:rPr>
          <w:t>https://2009-2017.state.gov/j/drl/rls/irf/2001/5604.html</w:t>
        </w:r>
      </w:hyperlink>
    </w:p>
    <w:p w:rsidR="3FF75328" w:rsidP="3FF75328" w:rsidRDefault="3FF75328" w14:paraId="128AC5D0" w14:textId="7F5CD483">
      <w:pPr>
        <w:pStyle w:val="Normal"/>
        <w:bidi w:val="0"/>
        <w:spacing w:line="360" w:lineRule="auto"/>
        <w:ind w:left="0"/>
        <w:rPr>
          <w:rFonts w:ascii="Times New Roman" w:hAnsi="Times New Roman" w:eastAsia="Times New Roman" w:cs="Times New Roman"/>
          <w:i w:val="0"/>
          <w:iCs w:val="0"/>
          <w:caps w:val="0"/>
          <w:smallCaps w:val="0"/>
          <w:noProof w:val="0"/>
          <w:lang w:val="en-US"/>
        </w:rPr>
      </w:pPr>
    </w:p>
    <w:p w:rsidR="3FF75328" w:rsidP="3FF75328" w:rsidRDefault="3FF75328" w14:paraId="23C5B572" w14:textId="1C5D410E">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Kementerian Pendidikan dan </w:t>
      </w:r>
      <w:proofErr w:type="spellStart"/>
      <w:r w:rsidRPr="3FF75328" w:rsidR="3FF75328">
        <w:rPr>
          <w:rFonts w:ascii="Times New Roman" w:hAnsi="Times New Roman" w:eastAsia="Times New Roman" w:cs="Times New Roman"/>
          <w:i w:val="0"/>
          <w:iCs w:val="0"/>
          <w:caps w:val="0"/>
          <w:smallCaps w:val="0"/>
          <w:noProof w:val="0"/>
          <w:color w:val="141413"/>
          <w:lang w:val="en-US"/>
        </w:rPr>
        <w:t>Kebudayaan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Republik Indonesia. (2007). Pendidikan agama dan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keagamaan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Retrieved from  </w:t>
      </w:r>
      <w:hyperlink r:id="R5e5ed5dd27c14640">
        <w:r w:rsidRPr="3FF75328" w:rsidR="3FF75328">
          <w:rPr>
            <w:rStyle w:val="Hyperlink"/>
            <w:rFonts w:ascii="Times New Roman" w:hAnsi="Times New Roman" w:eastAsia="Times New Roman" w:cs="Times New Roman"/>
            <w:i w:val="0"/>
            <w:iCs w:val="0"/>
            <w:caps w:val="0"/>
            <w:smallCaps w:val="0"/>
            <w:noProof w:val="0"/>
            <w:lang w:val="en-US"/>
          </w:rPr>
          <w:t>https://jdih.kemdikbud.go.id/sjdih/siperpu/dokumen/salinan/PP_tahun2007_nomor55</w:t>
        </w:r>
      </w:hyperlink>
    </w:p>
    <w:p w:rsidR="3FF75328" w:rsidP="3FF75328" w:rsidRDefault="3FF75328" w14:paraId="6D4B9DC1" w14:textId="7DAF31D5">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2C43FA32" w14:textId="62F8ABA4">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Kementerian Pendidikan Malaysia. (n.d.). </w:t>
      </w:r>
      <w:proofErr w:type="spellStart"/>
      <w:r w:rsidRPr="3FF75328" w:rsidR="3FF75328">
        <w:rPr>
          <w:rFonts w:ascii="Times New Roman" w:hAnsi="Times New Roman" w:eastAsia="Times New Roman" w:cs="Times New Roman"/>
          <w:i w:val="0"/>
          <w:iCs w:val="0"/>
          <w:caps w:val="0"/>
          <w:smallCaps w:val="0"/>
          <w:noProof w:val="0"/>
          <w:color w:val="141413"/>
          <w:lang w:val="en-US"/>
        </w:rPr>
        <w:t>Bahagian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Islam. Retrieved from    </w:t>
      </w:r>
      <w:hyperlink r:id="Re9f475deeaa64fa0">
        <w:r w:rsidRPr="3FF75328" w:rsidR="3FF75328">
          <w:rPr>
            <w:rStyle w:val="Hyperlink"/>
            <w:rFonts w:ascii="Times New Roman" w:hAnsi="Times New Roman" w:eastAsia="Times New Roman" w:cs="Times New Roman"/>
            <w:i w:val="0"/>
            <w:iCs w:val="0"/>
            <w:caps w:val="0"/>
            <w:smallCaps w:val="0"/>
            <w:noProof w:val="0"/>
            <w:lang w:val="en-US"/>
          </w:rPr>
          <w:t>https://www.moe.gov.my/bahagian-pendidikan-islam</w:t>
        </w:r>
      </w:hyperlink>
    </w:p>
    <w:p w:rsidR="3FF75328" w:rsidP="3FF75328" w:rsidRDefault="3FF75328" w14:paraId="01F10002" w14:textId="71026CFE">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023FF19B" w14:textId="793EC0F6">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Mustapha, N. (1991). The evolution of Islamic education in Malaysia. Dewan Bahasa dan Pustaka.</w:t>
      </w:r>
    </w:p>
    <w:p w:rsidR="3FF75328" w:rsidP="3FF75328" w:rsidRDefault="3FF75328" w14:paraId="4561FFD7" w14:textId="0AB3DE2E">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0D59D586" w14:textId="4181A9C0">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PGSD Binus University. (2019). Peran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agama dan moral </w:t>
      </w:r>
      <w:proofErr w:type="spellStart"/>
      <w:r w:rsidRPr="3FF75328" w:rsidR="3FF75328">
        <w:rPr>
          <w:rFonts w:ascii="Times New Roman" w:hAnsi="Times New Roman" w:eastAsia="Times New Roman" w:cs="Times New Roman"/>
          <w:i w:val="0"/>
          <w:iCs w:val="0"/>
          <w:caps w:val="0"/>
          <w:smallCaps w:val="0"/>
          <w:noProof w:val="0"/>
          <w:color w:val="141413"/>
          <w:lang w:val="en-US"/>
        </w:rPr>
        <w:t>dalam</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di </w:t>
      </w:r>
      <w:r>
        <w:tab/>
      </w:r>
      <w:r w:rsidRPr="3FF75328" w:rsidR="3FF75328">
        <w:rPr>
          <w:rFonts w:ascii="Times New Roman" w:hAnsi="Times New Roman" w:eastAsia="Times New Roman" w:cs="Times New Roman"/>
          <w:i w:val="0"/>
          <w:iCs w:val="0"/>
          <w:caps w:val="0"/>
          <w:smallCaps w:val="0"/>
          <w:noProof w:val="0"/>
          <w:color w:val="141413"/>
          <w:lang w:val="en-US"/>
        </w:rPr>
        <w:t xml:space="preserve">Indonesia. Retrieved from </w:t>
      </w:r>
      <w:hyperlink r:id="R534f203627d54b17">
        <w:r w:rsidRPr="3FF75328" w:rsidR="3FF75328">
          <w:rPr>
            <w:rStyle w:val="Hyperlink"/>
            <w:rFonts w:ascii="Times New Roman" w:hAnsi="Times New Roman" w:eastAsia="Times New Roman" w:cs="Times New Roman"/>
            <w:i w:val="0"/>
            <w:iCs w:val="0"/>
            <w:caps w:val="0"/>
            <w:smallCaps w:val="0"/>
            <w:noProof w:val="0"/>
            <w:lang w:val="en-US"/>
          </w:rPr>
          <w:t>https://pgsd.binus.ac.id/2019/04/16/peran-pendidikan-agama-dan-moral-dalam-pendidikan-di-indonesia/</w:t>
        </w:r>
      </w:hyperlink>
    </w:p>
    <w:p w:rsidR="3FF75328" w:rsidP="3FF75328" w:rsidRDefault="3FF75328" w14:paraId="34193CB9" w14:textId="6B330BB5">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1738E75A" w14:textId="50767FB0">
      <w:pPr>
        <w:pStyle w:val="Normal"/>
        <w:bidi w:val="0"/>
        <w:spacing w:line="360" w:lineRule="auto"/>
        <w:ind w:left="720" w:hanging="720"/>
      </w:pPr>
      <w:proofErr w:type="spellStart"/>
      <w:r w:rsidRPr="3FF75328" w:rsidR="3FF75328">
        <w:rPr>
          <w:rFonts w:ascii="Times New Roman" w:hAnsi="Times New Roman" w:eastAsia="Times New Roman" w:cs="Times New Roman"/>
          <w:i w:val="0"/>
          <w:iCs w:val="0"/>
          <w:caps w:val="0"/>
          <w:smallCaps w:val="0"/>
          <w:noProof w:val="0"/>
          <w:color w:val="141413"/>
          <w:lang w:val="en-US"/>
        </w:rPr>
        <w:t>Sugiyono</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(2018). Metode </w:t>
      </w:r>
      <w:proofErr w:type="spellStart"/>
      <w:r w:rsidRPr="3FF75328" w:rsidR="3FF75328">
        <w:rPr>
          <w:rFonts w:ascii="Times New Roman" w:hAnsi="Times New Roman" w:eastAsia="Times New Roman" w:cs="Times New Roman"/>
          <w:i w:val="0"/>
          <w:iCs w:val="0"/>
          <w:caps w:val="0"/>
          <w:smallCaps w:val="0"/>
          <w:noProof w:val="0"/>
          <w:color w:val="141413"/>
          <w:lang w:val="en-US"/>
        </w:rPr>
        <w:t>penelitian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kuantitatif</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kualitatif</w:t>
      </w:r>
      <w:proofErr w:type="spellEnd"/>
      <w:r w:rsidRPr="3FF75328" w:rsidR="3FF75328">
        <w:rPr>
          <w:rFonts w:ascii="Times New Roman" w:hAnsi="Times New Roman" w:eastAsia="Times New Roman" w:cs="Times New Roman"/>
          <w:i w:val="0"/>
          <w:iCs w:val="0"/>
          <w:caps w:val="0"/>
          <w:smallCaps w:val="0"/>
          <w:noProof w:val="0"/>
          <w:color w:val="141413"/>
          <w:lang w:val="en-US"/>
        </w:rPr>
        <w:t>, dan R&amp;D [Research Method of Quantitative, Qualitative, and R&amp;D]. Alfabeta.</w:t>
      </w:r>
    </w:p>
    <w:p w:rsidR="3FF75328" w:rsidP="3FF75328" w:rsidRDefault="3FF75328" w14:paraId="72F50576" w14:textId="0E1843B5">
      <w:pPr>
        <w:pStyle w:val="Normal"/>
        <w:bidi w:val="0"/>
        <w:spacing w:line="360" w:lineRule="auto"/>
        <w:ind w:left="720" w:hanging="720"/>
        <w:rPr>
          <w:rFonts w:ascii="Times New Roman" w:hAnsi="Times New Roman" w:eastAsia="Times New Roman" w:cs="Times New Roman"/>
          <w:i w:val="0"/>
          <w:iCs w:val="0"/>
          <w:caps w:val="0"/>
          <w:smallCaps w:val="0"/>
          <w:noProof w:val="0"/>
          <w:color w:val="141413"/>
          <w:lang w:val="en-US"/>
        </w:rPr>
      </w:pPr>
    </w:p>
    <w:p w:rsidR="3FF75328" w:rsidP="3FF75328" w:rsidRDefault="3FF75328" w14:paraId="6C0F7DEA" w14:textId="56F205CE">
      <w:pPr>
        <w:pStyle w:val="Normal"/>
        <w:bidi w:val="0"/>
        <w:spacing w:line="360" w:lineRule="auto"/>
        <w:ind w:left="720" w:hanging="720"/>
        <w:rPr>
          <w:rFonts w:ascii="Times New Roman" w:hAnsi="Times New Roman" w:eastAsia="Times New Roman" w:cs="Times New Roman"/>
          <w:i w:val="0"/>
          <w:iCs w:val="0"/>
          <w:caps w:val="0"/>
          <w:smallCaps w:val="0"/>
          <w:noProof w:val="0"/>
          <w:color w:val="141413"/>
          <w:lang w:val="en-US"/>
        </w:rPr>
      </w:pPr>
      <w:r w:rsidRPr="3FF75328" w:rsidR="3FF75328">
        <w:rPr>
          <w:rFonts w:ascii="Times New Roman" w:hAnsi="Times New Roman" w:eastAsia="Times New Roman" w:cs="Times New Roman"/>
          <w:i w:val="0"/>
          <w:iCs w:val="0"/>
          <w:caps w:val="0"/>
          <w:smallCaps w:val="0"/>
          <w:noProof w:val="0"/>
          <w:color w:val="141413"/>
          <w:lang w:val="en-US"/>
        </w:rPr>
        <w:t>Sterkens, C. (2011). Interreligious learning: The problem of interreligious dialogue in primary education. Brill.</w:t>
      </w:r>
    </w:p>
    <w:p w:rsidR="3FF75328" w:rsidP="3FF75328" w:rsidRDefault="3FF75328" w14:paraId="767A8F4D" w14:textId="2EFD041A">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1AA0CFD3" w14:textId="7333F2C5">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UKM Malaysia. (n.d.). Islamic education in Malaysia: Types and structures. Retrieved from </w:t>
      </w:r>
      <w:hyperlink r:id="Re8db3896acad470e">
        <w:r w:rsidRPr="3FF75328" w:rsidR="3FF75328">
          <w:rPr>
            <w:rStyle w:val="Hyperlink"/>
            <w:rFonts w:ascii="Times New Roman" w:hAnsi="Times New Roman" w:eastAsia="Times New Roman" w:cs="Times New Roman"/>
            <w:i w:val="0"/>
            <w:iCs w:val="0"/>
            <w:caps w:val="0"/>
            <w:smallCaps w:val="0"/>
            <w:noProof w:val="0"/>
            <w:lang w:val="en-US"/>
          </w:rPr>
          <w:t>https://www.ukm.my/kita/wp-content/uploads/5.Manuskrip-ICIP.Dr-Atiqah-_-Prof-Ong-B.pdf</w:t>
        </w:r>
      </w:hyperlink>
    </w:p>
    <w:p w:rsidR="3FF75328" w:rsidP="3FF75328" w:rsidRDefault="3FF75328" w14:paraId="78AF4C69" w14:textId="2FAB8C01">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0C6E4591" w14:textId="679D0CC7">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UKM Malaysia. (n.d.). Raising religious inherency: The role of interreligious competence in achieving religious education equality in multireligious public schools in Indonesia. Retrieved from </w:t>
      </w:r>
      <w:hyperlink r:id="R84b4c63e3cbd4fff">
        <w:r w:rsidRPr="3FF75328" w:rsidR="3FF75328">
          <w:rPr>
            <w:rStyle w:val="Hyperlink"/>
            <w:rFonts w:ascii="Times New Roman" w:hAnsi="Times New Roman" w:eastAsia="Times New Roman" w:cs="Times New Roman"/>
            <w:i w:val="0"/>
            <w:iCs w:val="0"/>
            <w:caps w:val="0"/>
            <w:smallCaps w:val="0"/>
            <w:noProof w:val="0"/>
            <w:lang w:val="en-US"/>
          </w:rPr>
          <w:t>https://www.researchgate.net/publication/362726960_Raising_religious_inherency_the_role_of_interreligious_competence_in_achieving_religious_education_equality_in_multireligious_public_schools_in_Indonesia</w:t>
        </w:r>
      </w:hyperlink>
    </w:p>
    <w:p w:rsidR="3FF75328" w:rsidP="3FF75328" w:rsidRDefault="3FF75328" w14:paraId="167F27A1" w14:textId="7B30D828">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7AFFCD1A" w14:textId="668D1D16">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UKM Malaysia. (2013). Interfaith dialogue and religious education in Malaysia. International Journal of Islamic Thought, 3(1), 78-89. Retrieved from </w:t>
      </w:r>
      <w:hyperlink r:id="Rb2b3dab3f2a54239">
        <w:r w:rsidRPr="3FF75328" w:rsidR="3FF75328">
          <w:rPr>
            <w:rStyle w:val="Hyperlink"/>
            <w:rFonts w:ascii="Times New Roman" w:hAnsi="Times New Roman" w:eastAsia="Times New Roman" w:cs="Times New Roman"/>
            <w:i w:val="0"/>
            <w:iCs w:val="0"/>
            <w:caps w:val="0"/>
            <w:smallCaps w:val="0"/>
            <w:noProof w:val="0"/>
            <w:lang w:val="en-US"/>
          </w:rPr>
          <w:t>https://www.ukm.my/ijit/wp-content/uploads/2016/01/7-Nurfarhana-Abdul-Rahman-IJIT-Vol-3-June-2013.pdf</w:t>
        </w:r>
      </w:hyperlink>
    </w:p>
    <w:p w:rsidR="3FF75328" w:rsidP="3FF75328" w:rsidRDefault="3FF75328" w14:paraId="37727BBD" w14:textId="6CFC101B">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5E8527A8" w14:textId="2D8C14B6">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Yayasan Al-Faqih. (2022). </w:t>
      </w:r>
      <w:proofErr w:type="spellStart"/>
      <w:r w:rsidRPr="3FF75328" w:rsidR="3FF75328">
        <w:rPr>
          <w:rFonts w:ascii="Times New Roman" w:hAnsi="Times New Roman" w:eastAsia="Times New Roman" w:cs="Times New Roman"/>
          <w:i w:val="0"/>
          <w:iCs w:val="0"/>
          <w:caps w:val="0"/>
          <w:smallCaps w:val="0"/>
          <w:noProof w:val="0"/>
          <w:color w:val="141413"/>
          <w:lang w:val="en-US"/>
        </w:rPr>
        <w:t>Kurikulum</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Islam di Malaysia. Retrieved from </w:t>
      </w:r>
      <w:hyperlink r:id="Rccdad8898e304922">
        <w:r w:rsidRPr="3FF75328" w:rsidR="3FF75328">
          <w:rPr>
            <w:rStyle w:val="Hyperlink"/>
            <w:rFonts w:ascii="Times New Roman" w:hAnsi="Times New Roman" w:eastAsia="Times New Roman" w:cs="Times New Roman"/>
            <w:i w:val="0"/>
            <w:iCs w:val="0"/>
            <w:caps w:val="0"/>
            <w:smallCaps w:val="0"/>
            <w:noProof w:val="0"/>
            <w:lang w:val="en-US"/>
          </w:rPr>
          <w:t>https://al-faqih.my/wp-content/uploads/2022/10/DSKP-KSSM-P_ISLAM-TINGKATAN-2-1.pdf</w:t>
        </w:r>
      </w:hyperlink>
    </w:p>
    <w:p w:rsidR="3FF75328" w:rsidP="3FF75328" w:rsidRDefault="3FF75328" w14:paraId="5F54D4F8" w14:textId="62EA2F98">
      <w:pPr>
        <w:pStyle w:val="Normal"/>
        <w:bidi w:val="0"/>
        <w:spacing w:line="360" w:lineRule="auto"/>
        <w:ind w:left="0"/>
        <w:rPr>
          <w:rFonts w:ascii="Times New Roman" w:hAnsi="Times New Roman" w:eastAsia="Times New Roman" w:cs="Times New Roman"/>
          <w:i w:val="0"/>
          <w:iCs w:val="0"/>
          <w:caps w:val="0"/>
          <w:smallCaps w:val="0"/>
          <w:noProof w:val="0"/>
          <w:color w:val="141413"/>
          <w:lang w:val="en-US"/>
        </w:rPr>
      </w:pPr>
    </w:p>
    <w:p w:rsidR="3FF75328" w:rsidP="3FF75328" w:rsidRDefault="3FF75328" w14:paraId="41A4F734" w14:textId="78E28E68">
      <w:pPr>
        <w:pStyle w:val="Normal"/>
        <w:bidi w:val="0"/>
        <w:spacing w:line="360" w:lineRule="auto"/>
        <w:ind w:left="720" w:hanging="720"/>
      </w:pPr>
      <w:r w:rsidRPr="3FF75328" w:rsidR="3FF75328">
        <w:rPr>
          <w:rFonts w:ascii="Times New Roman" w:hAnsi="Times New Roman" w:eastAsia="Times New Roman" w:cs="Times New Roman"/>
          <w:i w:val="0"/>
          <w:iCs w:val="0"/>
          <w:caps w:val="0"/>
          <w:smallCaps w:val="0"/>
          <w:noProof w:val="0"/>
          <w:color w:val="141413"/>
          <w:lang w:val="en-US"/>
        </w:rPr>
        <w:t xml:space="preserve">Yayasan Pendidikan Moral. (2017). </w:t>
      </w:r>
      <w:proofErr w:type="spellStart"/>
      <w:r w:rsidRPr="3FF75328" w:rsidR="3FF75328">
        <w:rPr>
          <w:rFonts w:ascii="Times New Roman" w:hAnsi="Times New Roman" w:eastAsia="Times New Roman" w:cs="Times New Roman"/>
          <w:i w:val="0"/>
          <w:iCs w:val="0"/>
          <w:caps w:val="0"/>
          <w:smallCaps w:val="0"/>
          <w:noProof w:val="0"/>
          <w:color w:val="141413"/>
          <w:lang w:val="en-US"/>
        </w:rPr>
        <w:t>Dokumen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standard </w:t>
      </w:r>
      <w:proofErr w:type="spellStart"/>
      <w:r w:rsidRPr="3FF75328" w:rsidR="3FF75328">
        <w:rPr>
          <w:rFonts w:ascii="Times New Roman" w:hAnsi="Times New Roman" w:eastAsia="Times New Roman" w:cs="Times New Roman"/>
          <w:i w:val="0"/>
          <w:iCs w:val="0"/>
          <w:caps w:val="0"/>
          <w:smallCaps w:val="0"/>
          <w:noProof w:val="0"/>
          <w:color w:val="141413"/>
          <w:lang w:val="en-US"/>
        </w:rPr>
        <w:t>kurikulum</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dan </w:t>
      </w:r>
      <w:proofErr w:type="spellStart"/>
      <w:r w:rsidRPr="3FF75328" w:rsidR="3FF75328">
        <w:rPr>
          <w:rFonts w:ascii="Times New Roman" w:hAnsi="Times New Roman" w:eastAsia="Times New Roman" w:cs="Times New Roman"/>
          <w:i w:val="0"/>
          <w:iCs w:val="0"/>
          <w:caps w:val="0"/>
          <w:smallCaps w:val="0"/>
          <w:noProof w:val="0"/>
          <w:color w:val="141413"/>
          <w:lang w:val="en-US"/>
        </w:rPr>
        <w:t>pentaksiran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w:t>
      </w:r>
      <w:proofErr w:type="spellStart"/>
      <w:r w:rsidRPr="3FF75328" w:rsidR="3FF75328">
        <w:rPr>
          <w:rFonts w:ascii="Times New Roman" w:hAnsi="Times New Roman" w:eastAsia="Times New Roman" w:cs="Times New Roman"/>
          <w:i w:val="0"/>
          <w:iCs w:val="0"/>
          <w:caps w:val="0"/>
          <w:smallCaps w:val="0"/>
          <w:noProof w:val="0"/>
          <w:color w:val="141413"/>
          <w:lang w:val="en-US"/>
        </w:rPr>
        <w:t>pendidikan</w:t>
      </w:r>
      <w:proofErr w:type="spellEnd"/>
      <w:r w:rsidRPr="3FF75328" w:rsidR="3FF75328">
        <w:rPr>
          <w:rFonts w:ascii="Times New Roman" w:hAnsi="Times New Roman" w:eastAsia="Times New Roman" w:cs="Times New Roman"/>
          <w:i w:val="0"/>
          <w:iCs w:val="0"/>
          <w:caps w:val="0"/>
          <w:smallCaps w:val="0"/>
          <w:noProof w:val="0"/>
          <w:color w:val="141413"/>
          <w:lang w:val="en-US"/>
        </w:rPr>
        <w:t xml:space="preserve"> moral. Retrieved from </w:t>
      </w:r>
      <w:hyperlink r:id="Rea0f1f0e08ab41cc">
        <w:r w:rsidRPr="3FF75328" w:rsidR="3FF75328">
          <w:rPr>
            <w:rStyle w:val="Hyperlink"/>
            <w:rFonts w:ascii="Times New Roman" w:hAnsi="Times New Roman" w:eastAsia="Times New Roman" w:cs="Times New Roman"/>
            <w:i w:val="0"/>
            <w:iCs w:val="0"/>
            <w:caps w:val="0"/>
            <w:smallCaps w:val="0"/>
            <w:noProof w:val="0"/>
            <w:lang w:val="en-US"/>
          </w:rPr>
          <w:t>https://sumberpendidikan.com/wp-content/uploads/2016/07/DPK-2.0-PENDIDIKAN-MORAL-KSSR-SEMAKAN-2017-THN-1_.pdf</w:t>
        </w:r>
      </w:hyperlink>
    </w:p>
    <w:sectPr w:rsidR="00D1010D"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0000000000000000000"/>
    <w:charset w:val="4D"/>
    <w:family w:val="roman"/>
    <w:notTrueType/>
    <w:pitch w:val="variable"/>
    <w:sig w:usb0="00000003" w:usb1="00000000" w:usb2="00000000" w:usb3="00000000" w:csb0="00000001" w:csb1="00000000"/>
  </w:font>
  <w:font w:name="Arial">
    <w:panose1 w:val="00000000000000000000"/>
    <w:charset w:val="4D"/>
    <w:family w:val="swiss"/>
    <w:notTrueType/>
    <w:pitch w:val="variable"/>
    <w:sig w:usb0="00000003" w:usb1="00000000" w:usb2="00000000" w:usb3="00000000" w:csb0="00000001" w:csb1="00000000"/>
  </w:font>
  <w:font w:name="Calibri Light">
    <w:panose1 w:val="020F0302020204030204"/>
    <w:charset w:val="00"/>
    <w:family w:val="auto"/>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7">
    <w:nsid w:val="6971e4c"/>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6">
    <w:nsid w:val="606af2fe"/>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5">
    <w:nsid w:val="2ebc77d3"/>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4">
    <w:nsid w:val="1ba2c073"/>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3">
    <w:nsid w:val="1b7b11b4"/>
    <w:multiLevelType xmlns:w="http://schemas.openxmlformats.org/wordprocessingml/2006/main" w:val="hybridMultilevel"/>
    <w:lvl xmlns:w="http://schemas.openxmlformats.org/wordprocessingml/2006/main" w:ilvl="0">
      <w:start w:val="1"/>
      <w:numFmt w:val="bullet"/>
      <w:lvlText w:val="o"/>
      <w:lvlJc w:val="left"/>
      <w:pPr>
        <w:ind w:left="720" w:hanging="360"/>
      </w:pPr>
      <w:rPr>
        <w:rFonts w:hint="default" w:ascii="Courier New" w:hAnsi="Courier New"/>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67d8ddab"/>
    <w:multiLevelType xmlns:w="http://schemas.openxmlformats.org/wordprocessingml/2006/main" w:val="hybridMultilevel"/>
    <w:lvl xmlns:w="http://schemas.openxmlformats.org/wordprocessingml/2006/main" w:ilvl="0">
      <w:start w:val="1"/>
      <w:numFmt w:val="bullet"/>
      <w:lvlText w:val="o"/>
      <w:lvlJc w:val="left"/>
      <w:pPr>
        <w:ind w:left="720" w:hanging="360"/>
      </w:pPr>
      <w:rPr>
        <w:rFonts w:hint="default" w:ascii="Courier New" w:hAnsi="Courier New"/>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2a31f97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3333982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alibri" w:hAnsi="Calibri"/>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9">
    <w:nsid w:val="41bd203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4844909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781597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5b5d0a13"/>
    <w:multiLevelType xmlns:w="http://schemas.openxmlformats.org/wordprocessingml/2006/main" w:val="hybridMultilevel"/>
    <w:lvl xmlns:w="http://schemas.openxmlformats.org/wordprocessingml/2006/main" w:ilvl="0">
      <w:start w:val="6"/>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
    <w:nsid w:val="774591a0"/>
    <w:multiLevelType xmlns:w="http://schemas.openxmlformats.org/wordprocessingml/2006/main" w:val="hybridMultilevel"/>
    <w:lvl xmlns:w="http://schemas.openxmlformats.org/wordprocessingml/2006/main" w:ilvl="0">
      <w:start w:val="5"/>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
    <w:nsid w:val="5a320644"/>
    <w:multiLevelType xmlns:w="http://schemas.openxmlformats.org/wordprocessingml/2006/main" w:val="hybridMultilevel"/>
    <w:lvl xmlns:w="http://schemas.openxmlformats.org/wordprocessingml/2006/main" w:ilvl="0">
      <w:start w:val="4"/>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
    <w:nsid w:val="fd86282"/>
    <w:multiLevelType xmlns:w="http://schemas.openxmlformats.org/wordprocessingml/2006/main" w:val="hybridMultilevel"/>
    <w:lvl xmlns:w="http://schemas.openxmlformats.org/wordprocessingml/2006/main" w:ilvl="0">
      <w:start w:val="3"/>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
    <w:nsid w:val="2c04c954"/>
    <w:multiLevelType xmlns:w="http://schemas.openxmlformats.org/wordprocessingml/2006/main" w:val="hybridMultilevel"/>
    <w:lvl xmlns:w="http://schemas.openxmlformats.org/wordprocessingml/2006/main" w:ilvl="0">
      <w:start w:val="2"/>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25e88649"/>
    <w:multiLevelType xmlns:w="http://schemas.openxmlformats.org/wordprocessingml/2006/main" w:val="hybridMultilevel"/>
    <w:lvl xmlns:w="http://schemas.openxmlformats.org/wordprocessingml/2006/main" w:ilvl="0">
      <w:start w:val="1"/>
      <w:numFmt w:val="upperRoman"/>
      <w:lvlText w:val="%1."/>
      <w:lvlJc w:val="righ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10D"/>
    <w:rsid w:val="00D1010D"/>
    <w:rsid w:val="00E97F29"/>
    <w:rsid w:val="00EE6E42"/>
    <w:rsid w:val="09BBD398"/>
    <w:rsid w:val="15B462DE"/>
    <w:rsid w:val="166332DE"/>
    <w:rsid w:val="345A1BEF"/>
    <w:rsid w:val="374AFEFE"/>
    <w:rsid w:val="3FF75328"/>
    <w:rsid w:val="48FE93B2"/>
    <w:rsid w:val="52BB3B08"/>
    <w:rsid w:val="59A2BDB4"/>
    <w:rsid w:val="69B3495D"/>
    <w:rsid w:val="6F8AF450"/>
    <w:rsid w:val="72F60A77"/>
    <w:rsid w:val="75D59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fontTable" Target="fontTable.xml" Id="rId4" /><Relationship Type="http://schemas.openxmlformats.org/officeDocument/2006/relationships/theme" Target="theme/theme1.xml" Id="rId5" /><Relationship Type="http://schemas.openxmlformats.org/officeDocument/2006/relationships/styles" Target="styles.xml" Id="rId1" /><Relationship Type="http://schemas.openxmlformats.org/officeDocument/2006/relationships/settings" Target="settings.xml" Id="rId2" /><Relationship Type="http://schemas.openxmlformats.org/officeDocument/2006/relationships/numbering" Target="numbering.xml" Id="R9ae5b06bfa984269" /><Relationship Type="http://schemas.openxmlformats.org/officeDocument/2006/relationships/hyperlink" Target="https://2009-2017.state.gov/j/drl/rls/irf/2001/5604.html" TargetMode="External" Id="R95ccee8353ba4c7a" /><Relationship Type="http://schemas.openxmlformats.org/officeDocument/2006/relationships/hyperlink" Target="https://jdih.kemdikbud.go.id/sjdih/siperpu/dokumen/salinan/PP_tahun2007_nomor55" TargetMode="External" Id="R5e5ed5dd27c14640" /><Relationship Type="http://schemas.openxmlformats.org/officeDocument/2006/relationships/hyperlink" Target="https://www.moe.gov.my/bahagian-pendidikan-islam" TargetMode="External" Id="Re9f475deeaa64fa0" /><Relationship Type="http://schemas.openxmlformats.org/officeDocument/2006/relationships/hyperlink" Target="https://pgsd.binus.ac.id/2019/04/16/peran-pendidikan-agama-dan-moral-dalam-pendidikan-di-indonesia/" TargetMode="External" Id="R534f203627d54b17" /><Relationship Type="http://schemas.openxmlformats.org/officeDocument/2006/relationships/hyperlink" Target="https://www.ukm.my/kita/wp-content/uploads/5.Manuskrip-ICIP.Dr-Atiqah-_-Prof-Ong-B.pdf" TargetMode="External" Id="Re8db3896acad470e" /><Relationship Type="http://schemas.openxmlformats.org/officeDocument/2006/relationships/hyperlink" Target="https://www.researchgate.net/publication/362726960_Raising_religious_inherency_the_role_of_interreligious_competence_in_achieving_religious_education_equality_in_multireligious_public_schools_in_Indonesia" TargetMode="External" Id="R84b4c63e3cbd4fff" /><Relationship Type="http://schemas.openxmlformats.org/officeDocument/2006/relationships/hyperlink" Target="https://www.ukm.my/ijit/wp-content/uploads/2016/01/7-Nurfarhana-Abdul-Rahman-IJIT-Vol-3-June-2013.pdf" TargetMode="External" Id="Rb2b3dab3f2a54239" /><Relationship Type="http://schemas.openxmlformats.org/officeDocument/2006/relationships/hyperlink" Target="https://al-faqih.my/wp-content/uploads/2022/10/DSKP-KSSM-P_ISLAM-TINGKATAN-2-1.pdf" TargetMode="External" Id="Rccdad8898e304922" /><Relationship Type="http://schemas.openxmlformats.org/officeDocument/2006/relationships/hyperlink" Target="https://sumberpendidikan.com/wp-content/uploads/2016/07/DPK-2.0-PENDIDIKAN-MORAL-KSSR-SEMAKAN-2017-THN-1_.pdf" TargetMode="External" Id="Rea0f1f0e08ab41c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Ayu Sari</lastModifiedBy>
  <revision>15</revision>
  <dcterms:created xsi:type="dcterms:W3CDTF">2018-02-09T21:34:00.0000000Z</dcterms:created>
  <dcterms:modified xsi:type="dcterms:W3CDTF">2025-04-03T09:05:30.6102367Z</dcterms:modified>
</coreProperties>
</file>